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CB" w:rsidRPr="00670FC9" w:rsidRDefault="006F2CCB" w:rsidP="004C2C39">
      <w:pPr>
        <w:pStyle w:val="NoSpacing"/>
        <w:jc w:val="center"/>
        <w:rPr>
          <w:rFonts w:ascii="Helvetica" w:hAnsi="Helvetica"/>
          <w:b/>
          <w:sz w:val="32"/>
          <w:szCs w:val="32"/>
        </w:rPr>
      </w:pPr>
      <w:proofErr w:type="spellStart"/>
      <w:r w:rsidRPr="00670FC9">
        <w:rPr>
          <w:rFonts w:ascii="Helvetica" w:hAnsi="Helvetica"/>
          <w:b/>
          <w:sz w:val="32"/>
          <w:szCs w:val="32"/>
        </w:rPr>
        <w:t>G</w:t>
      </w:r>
      <w:r w:rsidR="00555B40">
        <w:rPr>
          <w:rFonts w:ascii="Helvetica" w:hAnsi="Helvetica"/>
          <w:b/>
          <w:sz w:val="32"/>
          <w:szCs w:val="32"/>
        </w:rPr>
        <w:t>RATE</w:t>
      </w:r>
      <w:r w:rsidRPr="00670FC9">
        <w:rPr>
          <w:rFonts w:ascii="Helvetica" w:hAnsi="Helvetica"/>
          <w:b/>
          <w:sz w:val="32"/>
          <w:szCs w:val="32"/>
        </w:rPr>
        <w:t>Design</w:t>
      </w:r>
      <w:proofErr w:type="spellEnd"/>
      <w:r w:rsidRPr="00670FC9">
        <w:rPr>
          <w:rFonts w:ascii="Helvetica" w:hAnsi="Helvetica"/>
          <w:b/>
          <w:sz w:val="32"/>
          <w:szCs w:val="32"/>
          <w:vertAlign w:val="superscript"/>
        </w:rPr>
        <w:t>®</w:t>
      </w:r>
      <w:r w:rsidRPr="00670FC9">
        <w:rPr>
          <w:rFonts w:ascii="Helvetica" w:hAnsi="Helvetica"/>
          <w:b/>
          <w:sz w:val="32"/>
          <w:szCs w:val="32"/>
        </w:rPr>
        <w:t xml:space="preserve"> Rigid Grates</w:t>
      </w:r>
    </w:p>
    <w:p w:rsidR="006F2CCB" w:rsidRPr="004C7295" w:rsidRDefault="006F2CCB" w:rsidP="006D0E5E">
      <w:pPr>
        <w:pStyle w:val="NoSpacing"/>
        <w:ind w:left="1094" w:hanging="907"/>
        <w:rPr>
          <w:rFonts w:ascii="Helvetica" w:hAnsi="Helvetica"/>
          <w:b/>
        </w:rPr>
      </w:pPr>
      <w:r w:rsidRPr="004C7295">
        <w:rPr>
          <w:rFonts w:ascii="Helvetica" w:hAnsi="Helvetica"/>
          <w:b/>
        </w:rPr>
        <w:t xml:space="preserve">Models: G-100, G-100U, G-100RS, G-100DK, G-100DKRS, G-100DKU, G-200, </w:t>
      </w:r>
      <w:r w:rsidR="00D66FC8">
        <w:rPr>
          <w:rFonts w:ascii="Helvetica" w:hAnsi="Helvetica"/>
          <w:b/>
        </w:rPr>
        <w:t xml:space="preserve">G-200ET, </w:t>
      </w:r>
      <w:r w:rsidRPr="004C7295">
        <w:rPr>
          <w:rFonts w:ascii="Helvetica" w:hAnsi="Helvetica"/>
          <w:b/>
        </w:rPr>
        <w:t>G200RT, G-200DK, G-200DKRT, G-300, G-300DK, G-400, G-400DK, G-500, G-500DK</w:t>
      </w:r>
    </w:p>
    <w:p w:rsidR="006F2CCB" w:rsidRPr="00DE597F" w:rsidRDefault="006F2CCB" w:rsidP="00D66FC8">
      <w:pPr>
        <w:pStyle w:val="NoSpacing"/>
        <w:ind w:left="1080" w:hanging="900"/>
        <w:rPr>
          <w:rFonts w:ascii="Helvetica" w:hAnsi="Helvetica"/>
          <w:b/>
          <w:szCs w:val="28"/>
        </w:rPr>
      </w:pPr>
    </w:p>
    <w:tbl>
      <w:tblPr>
        <w:tblpPr w:leftFromText="180" w:rightFromText="180" w:vertAnchor="text" w:tblpXSpec="center" w:tblpY="1"/>
        <w:tblOverlap w:val="never"/>
        <w:tblW w:w="11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10"/>
        <w:gridCol w:w="3780"/>
        <w:gridCol w:w="1170"/>
        <w:gridCol w:w="3800"/>
      </w:tblGrid>
      <w:tr w:rsidR="006F2CCB" w:rsidRPr="00DE597F" w:rsidTr="006D0E5E">
        <w:trPr>
          <w:jc w:val="center"/>
        </w:trPr>
        <w:tc>
          <w:tcPr>
            <w:tcW w:w="1548" w:type="dxa"/>
          </w:tcPr>
          <w:p w:rsidR="006F2CCB" w:rsidRPr="00DE597F" w:rsidRDefault="006F2CCB" w:rsidP="006D0E5E">
            <w:pPr>
              <w:pStyle w:val="NoSpacing"/>
              <w:jc w:val="center"/>
              <w:rPr>
                <w:rFonts w:ascii="Helvetica" w:hAnsi="Helvetica"/>
                <w:b/>
                <w:sz w:val="20"/>
                <w:szCs w:val="20"/>
              </w:rPr>
            </w:pPr>
            <w:r w:rsidRPr="00DE597F">
              <w:rPr>
                <w:rFonts w:ascii="Helvetica" w:hAnsi="Helvetica"/>
                <w:b/>
                <w:sz w:val="20"/>
                <w:szCs w:val="20"/>
              </w:rPr>
              <w:t>LEED Category</w:t>
            </w:r>
          </w:p>
        </w:tc>
        <w:tc>
          <w:tcPr>
            <w:tcW w:w="810" w:type="dxa"/>
          </w:tcPr>
          <w:p w:rsidR="006F2CCB" w:rsidRPr="00DE597F" w:rsidRDefault="006F2CCB" w:rsidP="006D0E5E">
            <w:pPr>
              <w:pStyle w:val="NoSpacing"/>
              <w:jc w:val="center"/>
              <w:rPr>
                <w:rFonts w:ascii="Helvetica" w:hAnsi="Helvetica"/>
                <w:b/>
                <w:sz w:val="20"/>
                <w:szCs w:val="20"/>
              </w:rPr>
            </w:pPr>
            <w:r w:rsidRPr="00DE597F">
              <w:rPr>
                <w:rFonts w:ascii="Helvetica" w:hAnsi="Helvetica"/>
                <w:b/>
                <w:sz w:val="20"/>
                <w:szCs w:val="20"/>
              </w:rPr>
              <w:t>Credit</w:t>
            </w:r>
          </w:p>
        </w:tc>
        <w:tc>
          <w:tcPr>
            <w:tcW w:w="3780" w:type="dxa"/>
          </w:tcPr>
          <w:p w:rsidR="006F2CCB" w:rsidRPr="00DE597F" w:rsidRDefault="006F2CCB" w:rsidP="006D0E5E">
            <w:pPr>
              <w:pStyle w:val="NoSpacing"/>
              <w:jc w:val="center"/>
              <w:rPr>
                <w:rFonts w:ascii="Helvetica" w:hAnsi="Helvetica"/>
                <w:b/>
                <w:sz w:val="20"/>
                <w:szCs w:val="20"/>
              </w:rPr>
            </w:pPr>
            <w:r w:rsidRPr="00DE597F">
              <w:rPr>
                <w:rFonts w:ascii="Helvetica" w:hAnsi="Helvetica"/>
                <w:b/>
                <w:sz w:val="20"/>
                <w:szCs w:val="20"/>
              </w:rPr>
              <w:t>Details</w:t>
            </w:r>
          </w:p>
        </w:tc>
        <w:tc>
          <w:tcPr>
            <w:tcW w:w="1170" w:type="dxa"/>
          </w:tcPr>
          <w:p w:rsidR="006F2CCB" w:rsidRPr="00DE597F" w:rsidRDefault="006F2CCB" w:rsidP="006D0E5E">
            <w:pPr>
              <w:pStyle w:val="NoSpacing"/>
              <w:jc w:val="center"/>
              <w:rPr>
                <w:rFonts w:ascii="Helvetica" w:hAnsi="Helvetica"/>
                <w:b/>
                <w:sz w:val="20"/>
                <w:szCs w:val="20"/>
              </w:rPr>
            </w:pPr>
            <w:r w:rsidRPr="00DE597F">
              <w:rPr>
                <w:rFonts w:ascii="Helvetica" w:hAnsi="Helvetica"/>
                <w:b/>
                <w:sz w:val="20"/>
                <w:szCs w:val="20"/>
              </w:rPr>
              <w:t>Points</w:t>
            </w:r>
          </w:p>
        </w:tc>
        <w:tc>
          <w:tcPr>
            <w:tcW w:w="3800" w:type="dxa"/>
          </w:tcPr>
          <w:p w:rsidR="006F2CCB" w:rsidRPr="00DE597F" w:rsidRDefault="006F2CCB" w:rsidP="006D0E5E">
            <w:pPr>
              <w:pStyle w:val="NoSpacing"/>
              <w:jc w:val="center"/>
              <w:rPr>
                <w:rFonts w:ascii="Helvetica" w:hAnsi="Helvetica"/>
                <w:b/>
                <w:sz w:val="20"/>
                <w:szCs w:val="20"/>
              </w:rPr>
            </w:pPr>
            <w:r w:rsidRPr="00DE597F">
              <w:rPr>
                <w:rFonts w:ascii="Helvetica" w:hAnsi="Helvetica"/>
                <w:b/>
                <w:sz w:val="20"/>
                <w:szCs w:val="20"/>
              </w:rPr>
              <w:t>Product/Material Detail</w:t>
            </w:r>
          </w:p>
        </w:tc>
      </w:tr>
      <w:tr w:rsidR="006F2CCB" w:rsidRPr="00DE597F" w:rsidTr="006D0E5E">
        <w:trPr>
          <w:trHeight w:val="3353"/>
          <w:jc w:val="center"/>
        </w:trPr>
        <w:tc>
          <w:tcPr>
            <w:tcW w:w="1548" w:type="dxa"/>
            <w:vMerge w:val="restart"/>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Material and Resources (MR)</w:t>
            </w:r>
          </w:p>
        </w:tc>
        <w:tc>
          <w:tcPr>
            <w:tcW w:w="810" w:type="dxa"/>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4</w:t>
            </w:r>
          </w:p>
        </w:tc>
        <w:tc>
          <w:tcPr>
            <w:tcW w:w="378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Recycled Content:  Post-consumer + ½ Pre-consumer content</w:t>
            </w:r>
          </w:p>
        </w:tc>
        <w:tc>
          <w:tcPr>
            <w:tcW w:w="1170" w:type="dxa"/>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tcPr>
          <w:p w:rsidR="00773724" w:rsidRPr="00773724" w:rsidRDefault="002C5515" w:rsidP="006D0E5E">
            <w:pPr>
              <w:pStyle w:val="NoSpacing"/>
              <w:numPr>
                <w:ilvl w:val="0"/>
                <w:numId w:val="6"/>
              </w:numPr>
              <w:ind w:left="162" w:hanging="180"/>
              <w:rPr>
                <w:rFonts w:ascii="Helvetica" w:hAnsi="Helvetica" w:cs="Calibri"/>
                <w:sz w:val="18"/>
                <w:szCs w:val="18"/>
              </w:rPr>
            </w:pPr>
            <w:r w:rsidRPr="00462F71">
              <w:rPr>
                <w:rFonts w:ascii="Helvetica" w:hAnsi="Helvetica" w:cs="Calibri"/>
                <w:sz w:val="18"/>
                <w:szCs w:val="18"/>
              </w:rPr>
              <w:t>G-100</w:t>
            </w:r>
            <w:r w:rsidR="00773724">
              <w:rPr>
                <w:rFonts w:ascii="Helvetica" w:hAnsi="Helvetica" w:cs="Calibri"/>
                <w:sz w:val="18"/>
                <w:szCs w:val="18"/>
              </w:rPr>
              <w:t>,</w:t>
            </w:r>
            <w:r w:rsidR="00773724" w:rsidRPr="00BC7B8B">
              <w:rPr>
                <w:rFonts w:ascii="Helvetica" w:hAnsi="Helvetica" w:cs="Calibri"/>
                <w:sz w:val="18"/>
                <w:szCs w:val="18"/>
              </w:rPr>
              <w:t xml:space="preserve"> </w:t>
            </w:r>
            <w:r w:rsidR="00773724">
              <w:rPr>
                <w:rFonts w:ascii="Helvetica" w:hAnsi="Helvetica" w:cs="Calibri"/>
                <w:sz w:val="18"/>
                <w:szCs w:val="18"/>
              </w:rPr>
              <w:t xml:space="preserve">G-100U and </w:t>
            </w:r>
            <w:r w:rsidR="00773724" w:rsidRPr="00773724">
              <w:rPr>
                <w:rFonts w:ascii="Helvetica" w:hAnsi="Helvetica" w:cs="Calibri"/>
                <w:sz w:val="18"/>
                <w:szCs w:val="18"/>
              </w:rPr>
              <w:t>G-100RS</w:t>
            </w:r>
            <w:r w:rsidR="00773724">
              <w:rPr>
                <w:rFonts w:ascii="Helvetica" w:hAnsi="Helvetica" w:cs="Calibri"/>
                <w:sz w:val="18"/>
                <w:szCs w:val="18"/>
              </w:rPr>
              <w:t xml:space="preserve"> </w:t>
            </w:r>
            <w:r w:rsidR="004C2C39">
              <w:rPr>
                <w:rFonts w:ascii="Helvetica" w:hAnsi="Helvetica" w:cs="Calibri"/>
                <w:sz w:val="18"/>
                <w:szCs w:val="18"/>
              </w:rPr>
              <w:t>contain</w:t>
            </w:r>
            <w:r w:rsidR="00773724" w:rsidRPr="00773724">
              <w:rPr>
                <w:rFonts w:ascii="Helvetica" w:hAnsi="Helvetica" w:cs="Calibri"/>
                <w:sz w:val="18"/>
                <w:szCs w:val="18"/>
              </w:rPr>
              <w:t xml:space="preserve"> 36% pre-consumer, 18% post consumer recycled content</w:t>
            </w:r>
          </w:p>
          <w:p w:rsidR="00773724" w:rsidRDefault="00773724" w:rsidP="006D0E5E">
            <w:pPr>
              <w:pStyle w:val="NoSpacing"/>
              <w:numPr>
                <w:ilvl w:val="0"/>
                <w:numId w:val="6"/>
              </w:numPr>
              <w:ind w:left="162" w:hanging="180"/>
              <w:rPr>
                <w:rFonts w:ascii="Helvetica" w:hAnsi="Helvetica" w:cs="Calibri"/>
                <w:sz w:val="18"/>
                <w:szCs w:val="18"/>
              </w:rPr>
            </w:pPr>
            <w:r w:rsidRPr="00462F71">
              <w:rPr>
                <w:rFonts w:ascii="Helvetica" w:hAnsi="Helvetica" w:cs="Calibri"/>
                <w:sz w:val="18"/>
                <w:szCs w:val="18"/>
              </w:rPr>
              <w:t>G-100DK</w:t>
            </w:r>
            <w:r>
              <w:rPr>
                <w:rFonts w:ascii="Helvetica" w:hAnsi="Helvetica" w:cs="Calibri"/>
                <w:sz w:val="18"/>
                <w:szCs w:val="18"/>
              </w:rPr>
              <w:t xml:space="preserve">, G-100DKU and </w:t>
            </w:r>
            <w:r w:rsidRPr="00462F71">
              <w:rPr>
                <w:rFonts w:ascii="Helvetica" w:hAnsi="Helvetica" w:cs="Calibri"/>
                <w:sz w:val="18"/>
                <w:szCs w:val="18"/>
              </w:rPr>
              <w:t xml:space="preserve">G-100DKRS </w:t>
            </w:r>
            <w:r w:rsidR="004C2C39">
              <w:rPr>
                <w:rFonts w:ascii="Helvetica" w:hAnsi="Helvetica" w:cs="Calibri"/>
                <w:sz w:val="18"/>
                <w:szCs w:val="18"/>
              </w:rPr>
              <w:t xml:space="preserve"> contain</w:t>
            </w:r>
            <w:r>
              <w:rPr>
                <w:rFonts w:ascii="Helvetica" w:hAnsi="Helvetica" w:cs="Calibri"/>
                <w:sz w:val="18"/>
                <w:szCs w:val="18"/>
              </w:rPr>
              <w:t xml:space="preserve"> 37</w:t>
            </w:r>
            <w:r w:rsidRPr="00BC7B8B">
              <w:rPr>
                <w:rFonts w:ascii="Helvetica" w:hAnsi="Helvetica" w:cs="Calibri"/>
                <w:sz w:val="18"/>
                <w:szCs w:val="18"/>
              </w:rPr>
              <w:t xml:space="preserve">% pre-consumer, </w:t>
            </w:r>
            <w:r>
              <w:rPr>
                <w:rFonts w:ascii="Helvetica" w:hAnsi="Helvetica" w:cs="Calibri"/>
                <w:sz w:val="18"/>
                <w:szCs w:val="18"/>
              </w:rPr>
              <w:t>19</w:t>
            </w:r>
            <w:r w:rsidRPr="00BC7B8B">
              <w:rPr>
                <w:rFonts w:ascii="Helvetica" w:hAnsi="Helvetica" w:cs="Calibri"/>
                <w:sz w:val="18"/>
                <w:szCs w:val="18"/>
              </w:rPr>
              <w:t>% post consumer recycled content</w:t>
            </w:r>
          </w:p>
          <w:p w:rsidR="00773724" w:rsidRDefault="002C5515" w:rsidP="006D0E5E">
            <w:pPr>
              <w:pStyle w:val="NoSpacing"/>
              <w:numPr>
                <w:ilvl w:val="0"/>
                <w:numId w:val="6"/>
              </w:numPr>
              <w:ind w:left="162" w:hanging="180"/>
              <w:rPr>
                <w:rFonts w:ascii="Helvetica" w:hAnsi="Helvetica" w:cs="Calibri"/>
                <w:sz w:val="18"/>
                <w:szCs w:val="18"/>
              </w:rPr>
            </w:pPr>
            <w:r w:rsidRPr="00462F71">
              <w:rPr>
                <w:rFonts w:ascii="Helvetica" w:hAnsi="Helvetica" w:cs="Calibri"/>
                <w:sz w:val="18"/>
                <w:szCs w:val="18"/>
              </w:rPr>
              <w:t>G-200</w:t>
            </w:r>
            <w:r w:rsidR="00773724">
              <w:rPr>
                <w:rFonts w:ascii="Helvetica" w:hAnsi="Helvetica" w:cs="Calibri"/>
                <w:sz w:val="18"/>
                <w:szCs w:val="18"/>
              </w:rPr>
              <w:t xml:space="preserve"> </w:t>
            </w:r>
            <w:r w:rsidR="00773724" w:rsidRPr="00773724">
              <w:rPr>
                <w:rFonts w:ascii="Helvetica" w:hAnsi="Helvetica" w:cs="Calibri"/>
                <w:sz w:val="18"/>
                <w:szCs w:val="18"/>
              </w:rPr>
              <w:t xml:space="preserve"> </w:t>
            </w:r>
            <w:r w:rsidR="00773724">
              <w:rPr>
                <w:rFonts w:ascii="Helvetica" w:hAnsi="Helvetica" w:cs="Calibri"/>
                <w:sz w:val="18"/>
                <w:szCs w:val="18"/>
              </w:rPr>
              <w:t>contains 29</w:t>
            </w:r>
            <w:r w:rsidR="00773724" w:rsidRPr="00773724">
              <w:rPr>
                <w:rFonts w:ascii="Helvetica" w:hAnsi="Helvetica" w:cs="Calibri"/>
                <w:sz w:val="18"/>
                <w:szCs w:val="18"/>
              </w:rPr>
              <w:t xml:space="preserve">% pre-consumer, </w:t>
            </w:r>
            <w:r w:rsidR="00773724">
              <w:rPr>
                <w:rFonts w:ascii="Helvetica" w:hAnsi="Helvetica" w:cs="Calibri"/>
                <w:sz w:val="18"/>
                <w:szCs w:val="18"/>
              </w:rPr>
              <w:t>14</w:t>
            </w:r>
            <w:r w:rsidR="00773724" w:rsidRPr="00773724">
              <w:rPr>
                <w:rFonts w:ascii="Helvetica" w:hAnsi="Helvetica" w:cs="Calibri"/>
                <w:sz w:val="18"/>
                <w:szCs w:val="18"/>
              </w:rPr>
              <w:t>% post consumer recycled content</w:t>
            </w:r>
            <w:r w:rsidRPr="00462F71">
              <w:rPr>
                <w:rFonts w:ascii="Helvetica" w:hAnsi="Helvetica" w:cs="Calibri"/>
                <w:sz w:val="18"/>
                <w:szCs w:val="18"/>
              </w:rPr>
              <w:t xml:space="preserve"> </w:t>
            </w:r>
          </w:p>
          <w:p w:rsidR="00DC6670" w:rsidRDefault="00DC6670" w:rsidP="006D0E5E">
            <w:pPr>
              <w:pStyle w:val="NoSpacing"/>
              <w:numPr>
                <w:ilvl w:val="0"/>
                <w:numId w:val="6"/>
              </w:numPr>
              <w:ind w:left="162" w:hanging="180"/>
              <w:rPr>
                <w:rFonts w:ascii="Helvetica" w:hAnsi="Helvetica" w:cs="Calibri"/>
                <w:sz w:val="18"/>
                <w:szCs w:val="18"/>
              </w:rPr>
            </w:pPr>
            <w:r>
              <w:rPr>
                <w:rFonts w:ascii="Helvetica" w:hAnsi="Helvetica" w:cs="Calibri"/>
                <w:sz w:val="18"/>
                <w:szCs w:val="18"/>
              </w:rPr>
              <w:t xml:space="preserve">G-200ET contains </w:t>
            </w:r>
            <w:r w:rsidR="007659C2">
              <w:rPr>
                <w:rFonts w:ascii="Helvetica" w:hAnsi="Helvetica" w:cs="Calibri"/>
                <w:sz w:val="18"/>
                <w:szCs w:val="18"/>
              </w:rPr>
              <w:t>43</w:t>
            </w:r>
            <w:r>
              <w:rPr>
                <w:rFonts w:ascii="Helvetica" w:hAnsi="Helvetica" w:cs="Calibri"/>
                <w:sz w:val="18"/>
                <w:szCs w:val="18"/>
              </w:rPr>
              <w:t>.</w:t>
            </w:r>
            <w:r w:rsidR="007659C2">
              <w:rPr>
                <w:rFonts w:ascii="Helvetica" w:hAnsi="Helvetica" w:cs="Calibri"/>
                <w:sz w:val="18"/>
                <w:szCs w:val="18"/>
              </w:rPr>
              <w:t>6</w:t>
            </w:r>
            <w:r>
              <w:rPr>
                <w:rFonts w:ascii="Helvetica" w:hAnsi="Helvetica" w:cs="Calibri"/>
                <w:sz w:val="18"/>
                <w:szCs w:val="18"/>
              </w:rPr>
              <w:t xml:space="preserve">% pre-consumer, </w:t>
            </w:r>
            <w:r w:rsidR="007F39E9">
              <w:rPr>
                <w:rFonts w:ascii="Helvetica" w:hAnsi="Helvetica" w:cs="Calibri"/>
                <w:sz w:val="18"/>
                <w:szCs w:val="18"/>
              </w:rPr>
              <w:t>34</w:t>
            </w:r>
            <w:r>
              <w:rPr>
                <w:rFonts w:ascii="Helvetica" w:hAnsi="Helvetica" w:cs="Calibri"/>
                <w:sz w:val="18"/>
                <w:szCs w:val="18"/>
              </w:rPr>
              <w:t>% post consumer recycled content</w:t>
            </w:r>
          </w:p>
          <w:p w:rsidR="00773724" w:rsidRPr="00773724" w:rsidRDefault="00773724" w:rsidP="006D0E5E">
            <w:pPr>
              <w:pStyle w:val="NoSpacing"/>
              <w:numPr>
                <w:ilvl w:val="0"/>
                <w:numId w:val="6"/>
              </w:numPr>
              <w:ind w:left="162" w:hanging="180"/>
              <w:rPr>
                <w:rFonts w:ascii="Helvetica" w:hAnsi="Helvetica" w:cs="Calibri"/>
                <w:sz w:val="18"/>
                <w:szCs w:val="18"/>
              </w:rPr>
            </w:pPr>
            <w:r w:rsidRPr="00773724">
              <w:rPr>
                <w:rFonts w:ascii="Helvetica" w:hAnsi="Helvetica" w:cs="Calibri"/>
                <w:sz w:val="18"/>
                <w:szCs w:val="18"/>
              </w:rPr>
              <w:t>G-</w:t>
            </w:r>
            <w:r>
              <w:rPr>
                <w:rFonts w:ascii="Helvetica" w:hAnsi="Helvetica" w:cs="Calibri"/>
                <w:sz w:val="18"/>
                <w:szCs w:val="18"/>
              </w:rPr>
              <w:t xml:space="preserve"> 200RT contains 37</w:t>
            </w:r>
            <w:r w:rsidRPr="00773724">
              <w:rPr>
                <w:rFonts w:ascii="Helvetica" w:hAnsi="Helvetica" w:cs="Calibri"/>
                <w:sz w:val="18"/>
                <w:szCs w:val="18"/>
              </w:rPr>
              <w:t xml:space="preserve">% pre-consumer, </w:t>
            </w:r>
            <w:r>
              <w:rPr>
                <w:rFonts w:ascii="Helvetica" w:hAnsi="Helvetica" w:cs="Calibri"/>
                <w:sz w:val="18"/>
                <w:szCs w:val="18"/>
              </w:rPr>
              <w:t>18</w:t>
            </w:r>
            <w:r w:rsidRPr="00773724">
              <w:rPr>
                <w:rFonts w:ascii="Helvetica" w:hAnsi="Helvetica" w:cs="Calibri"/>
                <w:sz w:val="18"/>
                <w:szCs w:val="18"/>
              </w:rPr>
              <w:t>% post consumer recycled content</w:t>
            </w:r>
            <w:r w:rsidRPr="00462F71">
              <w:rPr>
                <w:rFonts w:ascii="Helvetica" w:hAnsi="Helvetica" w:cs="Calibri"/>
                <w:sz w:val="18"/>
                <w:szCs w:val="18"/>
              </w:rPr>
              <w:t xml:space="preserve"> </w:t>
            </w:r>
          </w:p>
          <w:p w:rsidR="002C5515" w:rsidRPr="00174946" w:rsidRDefault="002C5515" w:rsidP="006D0E5E">
            <w:pPr>
              <w:pStyle w:val="NoSpacing"/>
              <w:numPr>
                <w:ilvl w:val="0"/>
                <w:numId w:val="6"/>
              </w:numPr>
              <w:ind w:left="162" w:hanging="180"/>
              <w:rPr>
                <w:rFonts w:ascii="Helvetica" w:hAnsi="Helvetica" w:cs="Calibri"/>
                <w:sz w:val="18"/>
                <w:szCs w:val="18"/>
              </w:rPr>
            </w:pPr>
            <w:r w:rsidRPr="00174946">
              <w:rPr>
                <w:rFonts w:ascii="Helvetica" w:hAnsi="Helvetica" w:cs="Calibri"/>
                <w:sz w:val="18"/>
                <w:szCs w:val="18"/>
              </w:rPr>
              <w:t xml:space="preserve">G-200DKRT </w:t>
            </w:r>
            <w:r w:rsidR="00174946">
              <w:rPr>
                <w:rFonts w:ascii="Helvetica" w:hAnsi="Helvetica" w:cs="Calibri"/>
                <w:sz w:val="18"/>
                <w:szCs w:val="18"/>
              </w:rPr>
              <w:t>contains 38</w:t>
            </w:r>
            <w:r w:rsidR="00174946" w:rsidRPr="00773724">
              <w:rPr>
                <w:rFonts w:ascii="Helvetica" w:hAnsi="Helvetica" w:cs="Calibri"/>
                <w:sz w:val="18"/>
                <w:szCs w:val="18"/>
              </w:rPr>
              <w:t xml:space="preserve">% pre-consumer, </w:t>
            </w:r>
            <w:r w:rsidR="00174946">
              <w:rPr>
                <w:rFonts w:ascii="Helvetica" w:hAnsi="Helvetica" w:cs="Calibri"/>
                <w:sz w:val="18"/>
                <w:szCs w:val="18"/>
              </w:rPr>
              <w:t>19</w:t>
            </w:r>
            <w:r w:rsidR="00174946" w:rsidRPr="00773724">
              <w:rPr>
                <w:rFonts w:ascii="Helvetica" w:hAnsi="Helvetica" w:cs="Calibri"/>
                <w:sz w:val="18"/>
                <w:szCs w:val="18"/>
              </w:rPr>
              <w:t>% post consumer recycled content</w:t>
            </w:r>
            <w:r w:rsidR="00174946" w:rsidRPr="00462F71">
              <w:rPr>
                <w:rFonts w:ascii="Helvetica" w:hAnsi="Helvetica" w:cs="Calibri"/>
                <w:sz w:val="18"/>
                <w:szCs w:val="18"/>
              </w:rPr>
              <w:t xml:space="preserve"> </w:t>
            </w:r>
          </w:p>
          <w:p w:rsidR="00773724" w:rsidRPr="00773724" w:rsidRDefault="00773724" w:rsidP="006D0E5E">
            <w:pPr>
              <w:pStyle w:val="NoSpacing"/>
              <w:numPr>
                <w:ilvl w:val="0"/>
                <w:numId w:val="6"/>
              </w:numPr>
              <w:ind w:left="162" w:hanging="180"/>
              <w:rPr>
                <w:rFonts w:ascii="Helvetica" w:hAnsi="Helvetica" w:cs="Calibri"/>
                <w:sz w:val="18"/>
                <w:szCs w:val="18"/>
              </w:rPr>
            </w:pPr>
            <w:r w:rsidRPr="00174946">
              <w:rPr>
                <w:rFonts w:ascii="Helvetica" w:hAnsi="Helvetica" w:cs="Calibri"/>
                <w:sz w:val="18"/>
                <w:szCs w:val="18"/>
              </w:rPr>
              <w:t>G-300 contains 34% pre-consumer, 17% post consumer recycled content</w:t>
            </w:r>
          </w:p>
          <w:p w:rsidR="00174946" w:rsidRPr="00773724" w:rsidRDefault="002C5515" w:rsidP="006D0E5E">
            <w:pPr>
              <w:pStyle w:val="NoSpacing"/>
              <w:numPr>
                <w:ilvl w:val="0"/>
                <w:numId w:val="6"/>
              </w:numPr>
              <w:ind w:left="162" w:hanging="180"/>
              <w:rPr>
                <w:rFonts w:ascii="Helvetica" w:hAnsi="Helvetica" w:cs="Calibri"/>
                <w:sz w:val="18"/>
                <w:szCs w:val="18"/>
              </w:rPr>
            </w:pPr>
            <w:r w:rsidRPr="00462F71">
              <w:rPr>
                <w:rFonts w:ascii="Helvetica" w:hAnsi="Helvetica" w:cs="Calibri"/>
                <w:sz w:val="18"/>
                <w:szCs w:val="18"/>
              </w:rPr>
              <w:t xml:space="preserve">G-300DK </w:t>
            </w:r>
            <w:r w:rsidR="00174946">
              <w:rPr>
                <w:rFonts w:ascii="Helvetica" w:hAnsi="Helvetica" w:cs="Calibri"/>
                <w:sz w:val="18"/>
                <w:szCs w:val="18"/>
              </w:rPr>
              <w:t>contains 35</w:t>
            </w:r>
            <w:r w:rsidR="00174946" w:rsidRPr="00174946">
              <w:rPr>
                <w:rFonts w:ascii="Helvetica" w:hAnsi="Helvetica" w:cs="Calibri"/>
                <w:sz w:val="18"/>
                <w:szCs w:val="18"/>
              </w:rPr>
              <w:t xml:space="preserve">% pre-consumer, </w:t>
            </w:r>
            <w:r w:rsidR="00174946">
              <w:rPr>
                <w:rFonts w:ascii="Helvetica" w:hAnsi="Helvetica" w:cs="Calibri"/>
                <w:sz w:val="18"/>
                <w:szCs w:val="18"/>
              </w:rPr>
              <w:t>18</w:t>
            </w:r>
            <w:r w:rsidR="00174946" w:rsidRPr="00174946">
              <w:rPr>
                <w:rFonts w:ascii="Helvetica" w:hAnsi="Helvetica" w:cs="Calibri"/>
                <w:sz w:val="18"/>
                <w:szCs w:val="18"/>
              </w:rPr>
              <w:t>% post consumer recycled content</w:t>
            </w:r>
          </w:p>
          <w:p w:rsidR="002C5515" w:rsidRPr="00BC7B8B" w:rsidRDefault="004C2C39" w:rsidP="006D0E5E">
            <w:pPr>
              <w:pStyle w:val="NoSpacing"/>
              <w:numPr>
                <w:ilvl w:val="0"/>
                <w:numId w:val="6"/>
              </w:numPr>
              <w:ind w:left="162" w:hanging="180"/>
              <w:rPr>
                <w:rFonts w:ascii="Helvetica" w:hAnsi="Helvetica" w:cs="Calibri"/>
                <w:sz w:val="18"/>
                <w:szCs w:val="18"/>
              </w:rPr>
            </w:pPr>
            <w:r>
              <w:rPr>
                <w:rFonts w:ascii="Helvetica" w:hAnsi="Helvetica" w:cs="Calibri"/>
                <w:sz w:val="18"/>
                <w:szCs w:val="18"/>
              </w:rPr>
              <w:t>G-400 and G-400DK  contain</w:t>
            </w:r>
            <w:r w:rsidR="002C5515" w:rsidRPr="00BC7B8B">
              <w:rPr>
                <w:rFonts w:ascii="Helvetica" w:hAnsi="Helvetica" w:cs="Calibri"/>
                <w:sz w:val="18"/>
                <w:szCs w:val="18"/>
              </w:rPr>
              <w:t xml:space="preserve"> 49% pre-consumer, 4.5% post consumer recycled content</w:t>
            </w:r>
          </w:p>
          <w:p w:rsidR="006F2CCB" w:rsidRPr="00462F71" w:rsidRDefault="002C5515" w:rsidP="006D0E5E">
            <w:pPr>
              <w:pStyle w:val="NoSpacing"/>
              <w:numPr>
                <w:ilvl w:val="0"/>
                <w:numId w:val="6"/>
              </w:numPr>
              <w:ind w:left="162" w:hanging="180"/>
              <w:rPr>
                <w:rFonts w:cs="Calibri"/>
                <w:sz w:val="20"/>
                <w:szCs w:val="20"/>
              </w:rPr>
            </w:pPr>
            <w:r w:rsidRPr="00462F71">
              <w:rPr>
                <w:rFonts w:ascii="Helvetica" w:hAnsi="Helvetica" w:cs="Calibri"/>
                <w:sz w:val="18"/>
                <w:szCs w:val="18"/>
              </w:rPr>
              <w:t>G-500 and</w:t>
            </w:r>
            <w:r w:rsidR="004C2C39">
              <w:rPr>
                <w:rFonts w:ascii="Helvetica" w:hAnsi="Helvetica" w:cs="Calibri"/>
                <w:sz w:val="18"/>
                <w:szCs w:val="18"/>
              </w:rPr>
              <w:t xml:space="preserve"> G-500DK contain</w:t>
            </w:r>
            <w:r>
              <w:rPr>
                <w:rFonts w:ascii="Helvetica" w:hAnsi="Helvetica" w:cs="Calibri"/>
                <w:sz w:val="18"/>
                <w:szCs w:val="18"/>
              </w:rPr>
              <w:t xml:space="preserve"> 55</w:t>
            </w:r>
            <w:r w:rsidRPr="00462F71">
              <w:rPr>
                <w:rFonts w:ascii="Helvetica" w:hAnsi="Helvetica" w:cs="Calibri"/>
                <w:sz w:val="18"/>
                <w:szCs w:val="18"/>
              </w:rPr>
              <w:t>% pre-co</w:t>
            </w:r>
            <w:r>
              <w:rPr>
                <w:rFonts w:ascii="Helvetica" w:hAnsi="Helvetica" w:cs="Calibri"/>
                <w:sz w:val="18"/>
                <w:szCs w:val="18"/>
              </w:rPr>
              <w:t xml:space="preserve">nsumer, 5% post consumer </w:t>
            </w:r>
            <w:r w:rsidRPr="00462F71">
              <w:rPr>
                <w:rFonts w:ascii="Helvetica" w:hAnsi="Helvetica" w:cs="Calibri"/>
                <w:sz w:val="18"/>
                <w:szCs w:val="18"/>
              </w:rPr>
              <w:t>recycled content</w:t>
            </w:r>
          </w:p>
        </w:tc>
      </w:tr>
      <w:tr w:rsidR="006F2CCB" w:rsidRPr="00DE597F" w:rsidTr="006D0E5E">
        <w:trPr>
          <w:jc w:val="center"/>
        </w:trPr>
        <w:tc>
          <w:tcPr>
            <w:tcW w:w="1548" w:type="dxa"/>
            <w:vMerge/>
          </w:tcPr>
          <w:p w:rsidR="006F2CCB" w:rsidRPr="00DE597F" w:rsidRDefault="006F2CCB" w:rsidP="006D0E5E">
            <w:pPr>
              <w:pStyle w:val="NoSpacing"/>
              <w:jc w:val="center"/>
              <w:rPr>
                <w:rFonts w:ascii="Helvetica" w:hAnsi="Helvetica"/>
                <w:sz w:val="20"/>
                <w:szCs w:val="20"/>
              </w:rPr>
            </w:pPr>
          </w:p>
        </w:tc>
        <w:tc>
          <w:tcPr>
            <w:tcW w:w="810" w:type="dxa"/>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5</w:t>
            </w:r>
          </w:p>
        </w:tc>
        <w:tc>
          <w:tcPr>
            <w:tcW w:w="378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Regional Material:  Use building materials or products that have been extracted, harvested or recovered, as well as manufactured,</w:t>
            </w:r>
          </w:p>
          <w:p w:rsidR="006F2CCB" w:rsidRPr="00DE597F" w:rsidRDefault="006F2CCB" w:rsidP="006D0E5E">
            <w:pPr>
              <w:pStyle w:val="NoSpacing"/>
              <w:rPr>
                <w:rFonts w:ascii="Helvetica" w:hAnsi="Helvetica"/>
                <w:sz w:val="20"/>
                <w:szCs w:val="20"/>
              </w:rPr>
            </w:pPr>
            <w:r w:rsidRPr="00DE597F">
              <w:rPr>
                <w:rFonts w:ascii="Helvetica" w:hAnsi="Helvetica"/>
                <w:sz w:val="20"/>
                <w:szCs w:val="20"/>
              </w:rPr>
              <w:t>within 500 miles of the project site</w:t>
            </w:r>
          </w:p>
        </w:tc>
        <w:tc>
          <w:tcPr>
            <w:tcW w:w="1170" w:type="dxa"/>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 xml:space="preserve">Not applicable.  Extraction Point is not within 500 miles of manufacturing. </w:t>
            </w:r>
          </w:p>
          <w:p w:rsidR="006F2CCB" w:rsidRPr="00DE597F" w:rsidRDefault="006F2CCB" w:rsidP="006D0E5E">
            <w:pPr>
              <w:pStyle w:val="NoSpacing"/>
              <w:rPr>
                <w:rFonts w:ascii="Helvetica" w:hAnsi="Helvetica"/>
                <w:sz w:val="20"/>
                <w:szCs w:val="20"/>
              </w:rPr>
            </w:pPr>
            <w:r w:rsidRPr="00DE597F">
              <w:rPr>
                <w:rFonts w:ascii="Helvetica" w:hAnsi="Helvetica"/>
                <w:sz w:val="20"/>
                <w:szCs w:val="20"/>
              </w:rPr>
              <w:t>Final Packaging Facility Location:</w:t>
            </w:r>
          </w:p>
          <w:p w:rsidR="006F2CCB" w:rsidRPr="00DE597F" w:rsidRDefault="006F2CCB" w:rsidP="006D0E5E">
            <w:pPr>
              <w:pStyle w:val="NoSpacing"/>
              <w:rPr>
                <w:rFonts w:ascii="Helvetica" w:hAnsi="Helvetica"/>
                <w:sz w:val="20"/>
                <w:szCs w:val="20"/>
              </w:rPr>
            </w:pPr>
            <w:r w:rsidRPr="00DE597F">
              <w:rPr>
                <w:rFonts w:ascii="Helvetica" w:hAnsi="Helvetica"/>
                <w:sz w:val="20"/>
                <w:szCs w:val="20"/>
              </w:rPr>
              <w:t>Brooklyn Park, MN 55428</w:t>
            </w:r>
          </w:p>
        </w:tc>
      </w:tr>
      <w:tr w:rsidR="006F2CCB" w:rsidRPr="00DE597F" w:rsidTr="006D0E5E">
        <w:trPr>
          <w:jc w:val="center"/>
        </w:trPr>
        <w:tc>
          <w:tcPr>
            <w:tcW w:w="1548" w:type="dxa"/>
            <w:vMerge w:val="restart"/>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Indoor Environmental Quality (IEQ)</w:t>
            </w:r>
          </w:p>
        </w:tc>
        <w:tc>
          <w:tcPr>
            <w:tcW w:w="810" w:type="dxa"/>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4.1</w:t>
            </w:r>
          </w:p>
        </w:tc>
        <w:tc>
          <w:tcPr>
            <w:tcW w:w="378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Low-Emitting Materials—Adhesives and Sealants</w:t>
            </w:r>
          </w:p>
        </w:tc>
        <w:tc>
          <w:tcPr>
            <w:tcW w:w="1170" w:type="dxa"/>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1 possible point</w:t>
            </w:r>
          </w:p>
        </w:tc>
        <w:tc>
          <w:tcPr>
            <w:tcW w:w="380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 xml:space="preserve">Not applicable. </w:t>
            </w:r>
          </w:p>
        </w:tc>
      </w:tr>
      <w:tr w:rsidR="006F2CCB" w:rsidRPr="00DE597F" w:rsidTr="006D0E5E">
        <w:trPr>
          <w:jc w:val="center"/>
        </w:trPr>
        <w:tc>
          <w:tcPr>
            <w:tcW w:w="1548" w:type="dxa"/>
            <w:vMerge/>
            <w:vAlign w:val="center"/>
          </w:tcPr>
          <w:p w:rsidR="006F2CCB" w:rsidRPr="00DE597F" w:rsidRDefault="006F2CCB" w:rsidP="006D0E5E">
            <w:pPr>
              <w:pStyle w:val="NoSpacing"/>
              <w:jc w:val="center"/>
              <w:rPr>
                <w:rFonts w:ascii="Helvetica" w:hAnsi="Helvetica"/>
                <w:sz w:val="20"/>
                <w:szCs w:val="20"/>
              </w:rPr>
            </w:pPr>
          </w:p>
        </w:tc>
        <w:tc>
          <w:tcPr>
            <w:tcW w:w="810" w:type="dxa"/>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4.2</w:t>
            </w:r>
          </w:p>
        </w:tc>
        <w:tc>
          <w:tcPr>
            <w:tcW w:w="378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IE Q Credit 4.2: Low-Emitting Materials—Paints and Coatings</w:t>
            </w:r>
          </w:p>
        </w:tc>
        <w:tc>
          <w:tcPr>
            <w:tcW w:w="1170" w:type="dxa"/>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1 possible point</w:t>
            </w:r>
          </w:p>
        </w:tc>
        <w:tc>
          <w:tcPr>
            <w:tcW w:w="380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 xml:space="preserve">Not applicable. </w:t>
            </w:r>
          </w:p>
        </w:tc>
      </w:tr>
      <w:tr w:rsidR="006F2CCB" w:rsidRPr="00DE597F" w:rsidTr="006D0E5E">
        <w:trPr>
          <w:jc w:val="center"/>
        </w:trPr>
        <w:tc>
          <w:tcPr>
            <w:tcW w:w="1548" w:type="dxa"/>
            <w:vMerge/>
            <w:vAlign w:val="center"/>
          </w:tcPr>
          <w:p w:rsidR="006F2CCB" w:rsidRPr="00DE597F" w:rsidRDefault="006F2CCB" w:rsidP="006D0E5E">
            <w:pPr>
              <w:pStyle w:val="NoSpacing"/>
              <w:jc w:val="center"/>
              <w:rPr>
                <w:rFonts w:ascii="Helvetica" w:hAnsi="Helvetica"/>
                <w:sz w:val="20"/>
                <w:szCs w:val="20"/>
              </w:rPr>
            </w:pPr>
          </w:p>
        </w:tc>
        <w:tc>
          <w:tcPr>
            <w:tcW w:w="810" w:type="dxa"/>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4.3</w:t>
            </w:r>
          </w:p>
        </w:tc>
        <w:tc>
          <w:tcPr>
            <w:tcW w:w="378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Low-Emitting Materials—Flooring Systems</w:t>
            </w:r>
          </w:p>
        </w:tc>
        <w:tc>
          <w:tcPr>
            <w:tcW w:w="1170" w:type="dxa"/>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1 possible point</w:t>
            </w:r>
          </w:p>
        </w:tc>
        <w:tc>
          <w:tcPr>
            <w:tcW w:w="380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Not applicable. Product does not require adhesives or sealants in the field.</w:t>
            </w:r>
          </w:p>
        </w:tc>
      </w:tr>
      <w:tr w:rsidR="006F2CCB" w:rsidRPr="00DE597F" w:rsidTr="006D0E5E">
        <w:trPr>
          <w:jc w:val="center"/>
        </w:trPr>
        <w:tc>
          <w:tcPr>
            <w:tcW w:w="1548" w:type="dxa"/>
            <w:vMerge/>
          </w:tcPr>
          <w:p w:rsidR="006F2CCB" w:rsidRPr="00DE597F" w:rsidRDefault="006F2CCB" w:rsidP="006D0E5E">
            <w:pPr>
              <w:pStyle w:val="NoSpacing"/>
              <w:jc w:val="center"/>
              <w:rPr>
                <w:rFonts w:ascii="Helvetica" w:hAnsi="Helvetica"/>
                <w:sz w:val="20"/>
                <w:szCs w:val="20"/>
              </w:rPr>
            </w:pPr>
          </w:p>
        </w:tc>
        <w:tc>
          <w:tcPr>
            <w:tcW w:w="810" w:type="dxa"/>
            <w:vAlign w:val="center"/>
          </w:tcPr>
          <w:p w:rsidR="006F2CCB" w:rsidRPr="00DE597F" w:rsidRDefault="006F2CCB" w:rsidP="006D0E5E">
            <w:pPr>
              <w:pStyle w:val="NoSpacing"/>
              <w:jc w:val="center"/>
              <w:rPr>
                <w:rFonts w:ascii="Helvetica" w:hAnsi="Helvetica"/>
                <w:sz w:val="20"/>
                <w:szCs w:val="20"/>
              </w:rPr>
            </w:pPr>
            <w:r w:rsidRPr="00DE597F">
              <w:rPr>
                <w:rFonts w:ascii="Helvetica" w:hAnsi="Helvetica"/>
                <w:sz w:val="20"/>
                <w:szCs w:val="20"/>
              </w:rPr>
              <w:t>5</w:t>
            </w:r>
          </w:p>
        </w:tc>
        <w:tc>
          <w:tcPr>
            <w:tcW w:w="378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 s and slotted systems that allow for cleaning underneath. Roll-out mats are acceptable only when maintained on a weekly basis by a contracted service organization.</w:t>
            </w:r>
          </w:p>
        </w:tc>
        <w:tc>
          <w:tcPr>
            <w:tcW w:w="1170" w:type="dxa"/>
          </w:tcPr>
          <w:p w:rsidR="006F2CCB" w:rsidRPr="00DE597F" w:rsidRDefault="00C17D99" w:rsidP="006D0E5E">
            <w:pPr>
              <w:pStyle w:val="NoSpacing"/>
              <w:jc w:val="center"/>
              <w:rPr>
                <w:rFonts w:ascii="Helvetica" w:hAnsi="Helvetica"/>
                <w:sz w:val="20"/>
                <w:szCs w:val="20"/>
              </w:rPr>
            </w:pPr>
            <w:r>
              <w:rPr>
                <w:rFonts w:ascii="Helvetica" w:hAnsi="Helvetica"/>
                <w:sz w:val="20"/>
                <w:szCs w:val="20"/>
              </w:rPr>
              <w:t>1 possible point</w:t>
            </w:r>
          </w:p>
        </w:tc>
        <w:tc>
          <w:tcPr>
            <w:tcW w:w="3800" w:type="dxa"/>
          </w:tcPr>
          <w:p w:rsidR="006F2CCB" w:rsidRPr="00DE597F" w:rsidRDefault="006F2CCB" w:rsidP="006D0E5E">
            <w:pPr>
              <w:pStyle w:val="NoSpacing"/>
              <w:rPr>
                <w:rFonts w:ascii="Helvetica" w:hAnsi="Helvetica"/>
                <w:sz w:val="20"/>
                <w:szCs w:val="20"/>
              </w:rPr>
            </w:pPr>
            <w:r w:rsidRPr="00DE597F">
              <w:rPr>
                <w:rFonts w:ascii="Helvetica" w:hAnsi="Helvetica"/>
                <w:sz w:val="20"/>
                <w:szCs w:val="20"/>
              </w:rPr>
              <w:t>Meets the requirement if size of product is at least ten (10) feet in the traffic direction and the product is properly maintained.</w:t>
            </w:r>
          </w:p>
        </w:tc>
      </w:tr>
    </w:tbl>
    <w:p w:rsidR="00E40B7F" w:rsidRPr="006F2CCB" w:rsidRDefault="00E40B7F" w:rsidP="006D0E5E">
      <w:pPr>
        <w:spacing w:after="0" w:line="240" w:lineRule="auto"/>
      </w:pPr>
    </w:p>
    <w:sectPr w:rsidR="00E40B7F" w:rsidRPr="006F2CCB" w:rsidSect="006D0E5E">
      <w:headerReference w:type="default" r:id="rId8"/>
      <w:footerReference w:type="default" r:id="rId9"/>
      <w:pgSz w:w="12240" w:h="15840"/>
      <w:pgMar w:top="21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E1B" w:rsidRDefault="00691E1B" w:rsidP="0090304C">
      <w:pPr>
        <w:spacing w:after="0" w:line="240" w:lineRule="auto"/>
      </w:pPr>
      <w:r>
        <w:separator/>
      </w:r>
    </w:p>
  </w:endnote>
  <w:endnote w:type="continuationSeparator" w:id="0">
    <w:p w:rsidR="00691E1B" w:rsidRDefault="00691E1B"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7" w:rsidRDefault="0045616E">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58752;mso-position-horizontal-relative:page;mso-position-vertical-relative:page" filled="f" stroked="f">
          <v:textbox style="mso-next-textbox:#_x0000_s2062" inset="0,0,0,0">
            <w:txbxContent>
              <w:p w:rsidR="00203F67" w:rsidRPr="00D0161F" w:rsidRDefault="00203F67"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E1B" w:rsidRDefault="00691E1B" w:rsidP="0090304C">
      <w:pPr>
        <w:spacing w:after="0" w:line="240" w:lineRule="auto"/>
      </w:pPr>
      <w:r>
        <w:separator/>
      </w:r>
    </w:p>
  </w:footnote>
  <w:footnote w:type="continuationSeparator" w:id="0">
    <w:p w:rsidR="00691E1B" w:rsidRDefault="00691E1B"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4C" w:rsidRDefault="006D0E5E">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a:ln w="9525">
                    <a:noFill/>
                    <a:miter lim="800000"/>
                    <a:headEnd/>
                    <a:tailEnd/>
                  </a:ln>
                </pic:spPr>
              </pic:pic>
            </a:graphicData>
          </a:graphic>
        </wp:anchor>
      </w:drawing>
    </w:r>
    <w:r w:rsidR="0045616E">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CB4820" w:rsidRDefault="00CA4416" w:rsidP="00CB4820">
                <w:pPr>
                  <w:spacing w:after="0" w:line="355" w:lineRule="exact"/>
                  <w:jc w:val="right"/>
                  <w:rPr>
                    <w:rFonts w:ascii="Arial" w:eastAsia="Avenir LT Std 65 Medium" w:hAnsi="Arial" w:cs="Arial"/>
                    <w:b/>
                    <w:color w:val="231F20"/>
                    <w:position w:val="2"/>
                    <w:sz w:val="32"/>
                    <w:szCs w:val="32"/>
                  </w:rPr>
                </w:pPr>
                <w:r>
                  <w:rPr>
                    <w:rFonts w:ascii="Arial" w:eastAsia="Avenir LT Std 65 Medium" w:hAnsi="Arial" w:cs="Arial"/>
                    <w:b/>
                    <w:color w:val="231F20"/>
                    <w:position w:val="2"/>
                    <w:sz w:val="32"/>
                    <w:szCs w:val="32"/>
                  </w:rPr>
                  <w:t xml:space="preserve">Entrance Flooring Systems – 12 48 </w:t>
                </w:r>
                <w:r w:rsidR="00CB4820" w:rsidRPr="0069366A">
                  <w:rPr>
                    <w:rFonts w:ascii="Arial" w:eastAsia="Avenir LT Std 65 Medium" w:hAnsi="Arial" w:cs="Arial"/>
                    <w:b/>
                    <w:color w:val="231F20"/>
                    <w:position w:val="2"/>
                    <w:sz w:val="32"/>
                    <w:szCs w:val="32"/>
                  </w:rPr>
                  <w:t>1</w:t>
                </w:r>
                <w:r w:rsidR="00555B40">
                  <w:rPr>
                    <w:rFonts w:ascii="Arial" w:eastAsia="Avenir LT Std 65 Medium" w:hAnsi="Arial" w:cs="Arial"/>
                    <w:b/>
                    <w:color w:val="231F20"/>
                    <w:position w:val="2"/>
                    <w:sz w:val="32"/>
                    <w:szCs w:val="32"/>
                  </w:rPr>
                  <w:t>6</w:t>
                </w:r>
              </w:p>
              <w:p w:rsidR="0090304C" w:rsidRPr="00CA7579" w:rsidRDefault="0090304C" w:rsidP="00CA7579">
                <w:pPr>
                  <w:rPr>
                    <w:szCs w:val="32"/>
                  </w:rPr>
                </w:pPr>
              </w:p>
            </w:txbxContent>
          </v:textbox>
          <w10:wrap anchorx="page" anchory="page"/>
        </v:shape>
      </w:pict>
    </w:r>
    <w:r w:rsidR="0045616E">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672F2B" w:rsidRPr="00270650" w:rsidRDefault="006D0E5E" w:rsidP="00672F2B">
                <w:pPr>
                  <w:spacing w:after="0" w:line="200" w:lineRule="exact"/>
                  <w:ind w:left="40"/>
                  <w:rPr>
                    <w:color w:val="000000"/>
                    <w:sz w:val="20"/>
                    <w:szCs w:val="20"/>
                  </w:rPr>
                </w:pPr>
                <w:r>
                  <w:rPr>
                    <w:noProof/>
                    <w:color w:val="000000"/>
                    <w:sz w:val="20"/>
                    <w:szCs w:val="20"/>
                  </w:rPr>
                  <w:drawing>
                    <wp:inline distT="0" distB="0" distL="0" distR="0">
                      <wp:extent cx="7037705" cy="20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7705" cy="20320"/>
                              </a:xfrm>
                              <a:prstGeom prst="rect">
                                <a:avLst/>
                              </a:prstGeom>
                              <a:noFill/>
                              <a:ln w="9525">
                                <a:noFill/>
                                <a:miter lim="800000"/>
                                <a:headEnd/>
                                <a:tailEnd/>
                              </a:ln>
                            </pic:spPr>
                          </pic:pic>
                        </a:graphicData>
                      </a:graphic>
                    </wp:inline>
                  </w:drawing>
                </w:r>
              </w:p>
            </w:txbxContent>
          </v:textbox>
          <w10:wrap anchorx="page" anchory="page"/>
        </v:shape>
      </w:pict>
    </w:r>
    <w:r w:rsidR="0045616E">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776C71" w:rsidRDefault="00776C71" w:rsidP="00776C71">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USGBC LEED</w:t>
                </w:r>
                <w:r>
                  <w:rPr>
                    <w:rFonts w:ascii="Arial" w:hAnsi="Arial" w:cs="Arial"/>
                    <w:b/>
                    <w:sz w:val="56"/>
                    <w:szCs w:val="56"/>
                    <w:vertAlign w:val="superscript"/>
                  </w:rPr>
                  <w:t>®</w:t>
                </w:r>
                <w:r>
                  <w:rPr>
                    <w:rFonts w:ascii="Arial" w:hAnsi="Arial" w:cs="Arial"/>
                    <w:b/>
                    <w:sz w:val="60"/>
                    <w:szCs w:val="60"/>
                    <w:vertAlign w:val="superscript"/>
                  </w:rPr>
                  <w:t xml:space="preserve"> </w:t>
                </w:r>
              </w:p>
              <w:p w:rsidR="0090304C" w:rsidRPr="0068164D" w:rsidRDefault="0090304C"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p>
              <w:p w:rsidR="00776C71" w:rsidRDefault="00776C7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5C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8DCA02A2"/>
    <w:lvl w:ilvl="0">
      <w:start w:val="1"/>
      <w:numFmt w:val="bullet"/>
      <w:lvlText w:val=""/>
      <w:lvlJc w:val="left"/>
      <w:pPr>
        <w:tabs>
          <w:tab w:val="num" w:pos="1080"/>
        </w:tabs>
        <w:ind w:left="1080" w:hanging="360"/>
      </w:pPr>
      <w:rPr>
        <w:rFonts w:ascii="Symbol" w:hAnsi="Symbol" w:hint="default"/>
      </w:rPr>
    </w:lvl>
  </w:abstractNum>
  <w:abstractNum w:abstractNumId="2">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savePreviewPicture/>
  <w:hdrShapeDefaults>
    <o:shapedefaults v:ext="edit" spidmax="8194"/>
    <o:shapelayout v:ext="edit">
      <o:idmap v:ext="edit" data="2"/>
    </o:shapelayout>
  </w:hdrShapeDefaults>
  <w:footnotePr>
    <w:footnote w:id="-1"/>
    <w:footnote w:id="0"/>
  </w:footnotePr>
  <w:endnotePr>
    <w:endnote w:id="-1"/>
    <w:endnote w:id="0"/>
  </w:endnotePr>
  <w:compat/>
  <w:rsids>
    <w:rsidRoot w:val="0090304C"/>
    <w:rsid w:val="00075256"/>
    <w:rsid w:val="0008256E"/>
    <w:rsid w:val="000B6B22"/>
    <w:rsid w:val="000E088D"/>
    <w:rsid w:val="000E7E0E"/>
    <w:rsid w:val="000F5939"/>
    <w:rsid w:val="001143F8"/>
    <w:rsid w:val="001356B5"/>
    <w:rsid w:val="00174946"/>
    <w:rsid w:val="00186465"/>
    <w:rsid w:val="00203F67"/>
    <w:rsid w:val="00206396"/>
    <w:rsid w:val="00270650"/>
    <w:rsid w:val="002B22DE"/>
    <w:rsid w:val="002C5515"/>
    <w:rsid w:val="003A1457"/>
    <w:rsid w:val="0040525A"/>
    <w:rsid w:val="0045616E"/>
    <w:rsid w:val="004603B1"/>
    <w:rsid w:val="004C2C39"/>
    <w:rsid w:val="004C7295"/>
    <w:rsid w:val="005470A3"/>
    <w:rsid w:val="00555B40"/>
    <w:rsid w:val="00586985"/>
    <w:rsid w:val="005E449F"/>
    <w:rsid w:val="00662426"/>
    <w:rsid w:val="00670FC9"/>
    <w:rsid w:val="00672F2B"/>
    <w:rsid w:val="0068164D"/>
    <w:rsid w:val="00691E1B"/>
    <w:rsid w:val="0069366A"/>
    <w:rsid w:val="006D0E5E"/>
    <w:rsid w:val="006F2924"/>
    <w:rsid w:val="006F2CCB"/>
    <w:rsid w:val="006F6A7B"/>
    <w:rsid w:val="00710781"/>
    <w:rsid w:val="00730AA2"/>
    <w:rsid w:val="00736B16"/>
    <w:rsid w:val="007659C2"/>
    <w:rsid w:val="00773724"/>
    <w:rsid w:val="00776C71"/>
    <w:rsid w:val="00797CC4"/>
    <w:rsid w:val="007F39E9"/>
    <w:rsid w:val="008878B8"/>
    <w:rsid w:val="008C236B"/>
    <w:rsid w:val="008E5AE1"/>
    <w:rsid w:val="0090304C"/>
    <w:rsid w:val="00A11741"/>
    <w:rsid w:val="00A951CC"/>
    <w:rsid w:val="00AF3E2E"/>
    <w:rsid w:val="00C17D99"/>
    <w:rsid w:val="00C936E5"/>
    <w:rsid w:val="00CA4416"/>
    <w:rsid w:val="00CA7579"/>
    <w:rsid w:val="00CB4820"/>
    <w:rsid w:val="00CE524C"/>
    <w:rsid w:val="00CF7B43"/>
    <w:rsid w:val="00D0161F"/>
    <w:rsid w:val="00D35149"/>
    <w:rsid w:val="00D66FC8"/>
    <w:rsid w:val="00D7608E"/>
    <w:rsid w:val="00DC394C"/>
    <w:rsid w:val="00DC6670"/>
    <w:rsid w:val="00E40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A951CC"/>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CA757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8Char">
    <w:name w:val="Heading 8 Char"/>
    <w:basedOn w:val="DefaultParagraphFont"/>
    <w:link w:val="Heading8"/>
    <w:rsid w:val="00CA7579"/>
    <w:rPr>
      <w:rFonts w:ascii="Arial" w:eastAsia="Times New Roman" w:hAnsi="Arial"/>
      <w:b/>
      <w:snapToGrid w:val="0"/>
      <w:sz w:val="19"/>
    </w:rPr>
  </w:style>
  <w:style w:type="character" w:styleId="Hyperlink">
    <w:name w:val="Hyperlink"/>
    <w:basedOn w:val="DefaultParagraphFont"/>
    <w:uiPriority w:val="99"/>
    <w:unhideWhenUsed/>
    <w:rsid w:val="00CA7579"/>
    <w:rPr>
      <w:color w:val="0000FF"/>
      <w:u w:val="single"/>
    </w:rPr>
  </w:style>
  <w:style w:type="paragraph" w:customStyle="1" w:styleId="PRT">
    <w:name w:val="PRT"/>
    <w:basedOn w:val="Normal"/>
    <w:next w:val="ART"/>
    <w:autoRedefine/>
    <w:rsid w:val="00CA7579"/>
    <w:pPr>
      <w:keepNext/>
      <w:numPr>
        <w:numId w:val="3"/>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CA7579"/>
    <w:pPr>
      <w:numPr>
        <w:ilvl w:val="1"/>
        <w:numId w:val="3"/>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A7579"/>
    <w:pPr>
      <w:numPr>
        <w:ilvl w:val="2"/>
        <w:numId w:val="3"/>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A7579"/>
    <w:pPr>
      <w:keepNext/>
      <w:numPr>
        <w:ilvl w:val="3"/>
        <w:numId w:val="3"/>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CA7579"/>
    <w:pPr>
      <w:numPr>
        <w:ilvl w:val="4"/>
        <w:numId w:val="3"/>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CA7579"/>
    <w:pPr>
      <w:numPr>
        <w:ilvl w:val="5"/>
        <w:numId w:val="3"/>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CA7579"/>
    <w:pPr>
      <w:numPr>
        <w:ilvl w:val="6"/>
        <w:numId w:val="3"/>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CA7579"/>
    <w:pPr>
      <w:numPr>
        <w:ilvl w:val="7"/>
        <w:numId w:val="3"/>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CA7579"/>
    <w:pPr>
      <w:numPr>
        <w:ilvl w:val="8"/>
        <w:numId w:val="3"/>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CA7579"/>
    <w:pPr>
      <w:suppressAutoHyphens/>
      <w:spacing w:before="480" w:after="0" w:line="240" w:lineRule="auto"/>
      <w:jc w:val="center"/>
    </w:pPr>
    <w:rPr>
      <w:rFonts w:ascii="Arial" w:eastAsia="Times New Roman" w:hAnsi="Arial"/>
      <w:caps/>
      <w:szCs w:val="20"/>
    </w:rPr>
  </w:style>
  <w:style w:type="paragraph" w:customStyle="1" w:styleId="CMT">
    <w:name w:val="CMT"/>
    <w:basedOn w:val="Normal"/>
    <w:autoRedefine/>
    <w:rsid w:val="00CA7579"/>
    <w:pPr>
      <w:suppressAutoHyphens/>
      <w:spacing w:before="240" w:after="80" w:line="240" w:lineRule="auto"/>
      <w:ind w:left="540"/>
      <w:jc w:val="both"/>
    </w:pPr>
    <w:rPr>
      <w:rFonts w:ascii="Arial" w:eastAsia="Times New Roman" w:hAnsi="Arial"/>
      <w:caps/>
      <w:sz w:val="16"/>
      <w:szCs w:val="20"/>
    </w:rPr>
  </w:style>
  <w:style w:type="paragraph" w:styleId="NoSpacing">
    <w:name w:val="No Spacing"/>
    <w:uiPriority w:val="1"/>
    <w:qFormat/>
    <w:rsid w:val="00CB4820"/>
    <w:rPr>
      <w:sz w:val="22"/>
      <w:szCs w:val="22"/>
    </w:rPr>
  </w:style>
  <w:style w:type="character" w:customStyle="1" w:styleId="Heading2Char">
    <w:name w:val="Heading 2 Char"/>
    <w:basedOn w:val="DefaultParagraphFont"/>
    <w:link w:val="Heading2"/>
    <w:uiPriority w:val="9"/>
    <w:semiHidden/>
    <w:rsid w:val="00A951CC"/>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7247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0671-2E79-4CDE-8B0F-4EDF7161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2425</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 Grates GrateDesign LEED</dc:title>
  <dc:subject>Rigid Grates GrateDesign LEED</dc:subject>
  <dc:creator>Nystrom Staff</dc:creator>
  <cp:keywords>Rigid Grates GrateDesign LEED</cp:keywords>
  <cp:lastModifiedBy>mdibba</cp:lastModifiedBy>
  <cp:revision>3</cp:revision>
  <dcterms:created xsi:type="dcterms:W3CDTF">2014-06-17T18:26:00Z</dcterms:created>
  <dcterms:modified xsi:type="dcterms:W3CDTF">2015-06-12T14:38:00Z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Babcock EFS Rigid Grates GrateDesign LEED</vt:lpwstr>
  </property>
  <property fmtid="{D5CDD505-2E9C-101B-9397-08002B2CF9AE}" pid="4" name="Revision">
    <vt:lpwstr>A</vt:lpwstr>
  </property>
</Properties>
</file>